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INSTRUCTIONS FOR OFFER SUBMISSION &amp; ADDITIONAL TERMS</w:t>
      </w:r>
    </w:p>
    <w:p w:rsidR="00000000" w:rsidDel="00000000" w:rsidP="00000000" w:rsidRDefault="00000000" w:rsidRPr="00000000" w14:paraId="00000003">
      <w:pPr>
        <w:pageBreakBefore w:val="0"/>
        <w:widowControl w:val="0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TRUST SALE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widowControl w:val="0"/>
        <w:spacing w:line="240" w:lineRule="auto"/>
        <w:ind w:left="36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offers to be submitted on C.A.R. Residential Purchase Agreement (RPA) form with Trust Advisory attached.</w:t>
      </w:r>
    </w:p>
    <w:p w:rsidR="00000000" w:rsidDel="00000000" w:rsidP="00000000" w:rsidRDefault="00000000" w:rsidRPr="00000000" w14:paraId="00000006">
      <w:pPr>
        <w:pageBreakBefore w:val="0"/>
        <w:spacing w:after="2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property is being sold "as is" with no representations or warranties implied or expressed made by Seller or Seller's agents and/or representatives.</w:t>
      </w:r>
    </w:p>
    <w:p w:rsidR="00000000" w:rsidDel="00000000" w:rsidP="00000000" w:rsidRDefault="00000000" w:rsidRPr="00000000" w14:paraId="00000007">
      <w:pPr>
        <w:pageBreakBefore w:val="0"/>
        <w:spacing w:after="2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Seller to select all services.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Buyer will be responsible for repairs (if any).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Buyer will be responsible for the pest control report and/or repairs (if any).</w:t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Seller to be responsible for smoke detectors, carbon monoxide detectors and water heater strapping prior to the close of escrow.  Buyer to be responsible for any other retrofitting costs and/or completion of work after the close of escrow.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Buyer will be responsible for cost/coverage of home protection plan (if Buyer so elects).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Escrow shall close in 50 days or less. 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offers must be accompanied by verification of 3% deposit.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Buyer deposit to be 3% of the purchase price and is to be submitted within one (1) business day of acceptance.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Offer shall provide exact vesting of Buyer; may not stipulate “assignees” or “to be determined” in Escrow.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County and city transfer taxes and fees shall be paid one-half by Buyer and one-half by Seller.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If the offer will be submitted by an entity, please provide appropriate documentation.</w:t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spacing w:after="0" w:befor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LLC:</w:t>
      </w:r>
    </w:p>
    <w:p w:rsidR="00000000" w:rsidDel="00000000" w:rsidP="00000000" w:rsidRDefault="00000000" w:rsidRPr="00000000" w14:paraId="00000013">
      <w:pPr>
        <w:pageBreakBefore w:val="0"/>
        <w:numPr>
          <w:ilvl w:val="2"/>
          <w:numId w:val="1"/>
        </w:numPr>
        <w:spacing w:after="0" w:before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Operating Agreement, Articles of Organization, and Tax ID #.</w:t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Trust: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before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notarized trust certification. 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Partnership:</w:t>
      </w:r>
    </w:p>
    <w:p w:rsidR="00000000" w:rsidDel="00000000" w:rsidP="00000000" w:rsidRDefault="00000000" w:rsidRPr="00000000" w14:paraId="00000017">
      <w:pPr>
        <w:pageBreakBefore w:val="0"/>
        <w:numPr>
          <w:ilvl w:val="2"/>
          <w:numId w:val="1"/>
        </w:numPr>
        <w:spacing w:after="0" w:before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Partnership Agreement and Tax ID #</w:t>
      </w:r>
    </w:p>
    <w:p w:rsidR="00000000" w:rsidDel="00000000" w:rsidP="00000000" w:rsidRDefault="00000000" w:rsidRPr="00000000" w14:paraId="00000018">
      <w:pPr>
        <w:pageBreakBefore w:val="0"/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Corporation:</w:t>
      </w:r>
    </w:p>
    <w:p w:rsidR="00000000" w:rsidDel="00000000" w:rsidP="00000000" w:rsidRDefault="00000000" w:rsidRPr="00000000" w14:paraId="00000019">
      <w:pPr>
        <w:pageBreakBefore w:val="0"/>
        <w:numPr>
          <w:ilvl w:val="2"/>
          <w:numId w:val="1"/>
        </w:numPr>
        <w:spacing w:after="240" w:before="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Articles of Incorporation, Bylaws, certificate of good standing, and Tax ID#</w:t>
      </w:r>
    </w:p>
    <w:sectPr>
      <w:headerReference r:id="rId7" w:type="default"/>
      <w:pgSz w:h="15840" w:w="12240" w:orient="portrait"/>
      <w:pgMar w:bottom="1440" w:top="1440" w:left="1440" w:right="1440" w:header="576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320"/>
        <w:tab w:val="right" w:leader="none" w:pos="8640"/>
      </w:tabs>
      <w:spacing w:line="240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1586230" cy="815340"/>
          <wp:effectExtent b="0" l="0" r="0" t="0"/>
          <wp:docPr descr="Macintosh HD:Users:dtaylor:Desktop:Asset 4.png" id="2" name="image1.png"/>
          <a:graphic>
            <a:graphicData uri="http://schemas.openxmlformats.org/drawingml/2006/picture">
              <pic:pic>
                <pic:nvPicPr>
                  <pic:cNvPr descr="Macintosh HD:Users:dtaylor:Desktop:Asset 4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6230" cy="8153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MtTRPO3cE7hRE1vv5SIcwZ/2Aw==">CgMxLjA4AHIhMVVSX0s0T0tmQXFwdHI1VzV5dGpYTGVFdXZrU0liQWVu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