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80"/>
        <w:jc w:val="center"/>
      </w:pPr>
      <w:r>
        <w:rPr>
          <w:rFonts w:ascii="Arial" w:cs="Arial" w:eastAsia="Arial" w:hAnsi="Arial"/>
          <w:b/>
          <w:bCs/>
          <w:color w:val="B8960C"/>
          <w:spacing w:val="80"/>
          <w:sz w:val="18"/>
          <w:szCs w:val="18"/>
        </w:rPr>
        <w:t xml:space="preserve">HISTORIC LANDMARK #172  ·  BANKERS HILL, SAN DIEGO</w:t>
      </w:r>
    </w:p>
    <w:p>
      <w:pPr>
        <w:spacing w:before="0" w:after="60"/>
        <w:jc w:val="center"/>
      </w:pPr>
      <w:r>
        <w:rPr>
          <w:rFonts w:ascii="Arial" w:cs="Arial" w:eastAsia="Arial" w:hAnsi="Arial"/>
          <w:b/>
          <w:bCs/>
          <w:color w:val="2C2C2C"/>
          <w:sz w:val="52"/>
          <w:szCs w:val="52"/>
        </w:rPr>
        <w:t xml:space="preserve">The Charlotte Bushnell House</w:t>
      </w:r>
    </w:p>
    <w:p>
      <w:pPr>
        <w:spacing w:before="0" w:after="200"/>
        <w:jc w:val="center"/>
      </w:pPr>
      <w:r>
        <w:rPr>
          <w:rFonts w:ascii="Arial" w:cs="Arial" w:eastAsia="Arial" w:hAnsi="Arial"/>
          <w:i/>
          <w:iCs/>
          <w:color w:val="555555"/>
          <w:sz w:val="20"/>
          <w:szCs w:val="20"/>
        </w:rPr>
        <w:t xml:space="preserve">3,400+ Sq. Ft.  ·  4 Bedrooms  ·  2 Bathrooms  ·  Corner Lot  ·  ADU Potential</w:t>
      </w:r>
    </w:p>
    <w:p>
      <w:pPr>
        <w:pBdr>
          <w:bottom w:val="single" w:color="B8960C" w:sz="4" w:space="1"/>
        </w:pBdr>
        <w:spacing w:before="80" w:after="80"/>
      </w:pPr>
    </w:p>
    <w:p>
      <w:pPr>
        <w:spacing w:before="240" w:after="240"/>
        <w:jc w:val="center"/>
      </w:pPr>
      <w:r>
        <w:rPr>
          <w:rFonts w:ascii="Georgia" w:cs="Georgia" w:eastAsia="Georgia" w:hAnsi="Georgia"/>
          <w:i/>
          <w:iCs/>
          <w:color w:val="555555"/>
          <w:sz w:val="26"/>
          <w:szCs w:val="26"/>
        </w:rPr>
        <w:t xml:space="preserve">Some properties are bought. A rare few are inherited by history — and entrusted to those bold enough to carry them forward.</w:t>
      </w:r>
    </w:p>
    <w:p>
      <w:pPr>
        <w:pBdr>
          <w:bottom w:val="single" w:color="B8960C" w:sz="4" w:space="1"/>
        </w:pBdr>
        <w:spacing w:before="80" w:after="80"/>
      </w:pPr>
    </w:p>
    <w:p>
      <w:pPr>
        <w:pStyle w:val="Heading2"/>
      </w:pPr>
      <w:r>
        <w:rPr>
          <w:rFonts w:ascii="Arial" w:cs="Arial" w:eastAsia="Arial" w:hAnsi="Arial"/>
          <w:b/>
          <w:bCs/>
          <w:color w:val="B8960C"/>
          <w:spacing w:val="40"/>
          <w:sz w:val="26"/>
          <w:szCs w:val="26"/>
        </w:rPr>
        <w:t xml:space="preserve">A LANDMARK OF IRREPLACEABLE CHARACTER</w:t>
      </w:r>
    </w:p>
    <w:p>
      <w:pPr>
        <w:spacing w:before="100" w:after="200"/>
      </w:pPr>
      <w:r>
        <w:rPr>
          <w:rFonts w:ascii="Georgia" w:cs="Georgia" w:eastAsia="Georgia" w:hAnsi="Georgia"/>
          <w:color w:val="2C2C2C"/>
          <w:sz w:val="22"/>
          <w:szCs w:val="22"/>
        </w:rPr>
        <w:t xml:space="preserve">Meticulously preserved and thoughtfully updated in 2022, the Charlotte Bushnell House stands as one of San Diego's most storied Victorian residences — officially designated as Historic Landmark #172. This is not simply a home. It is a living testament to an era of craftsmanship that cannot be replicated, now made available for the first time to a new steward.</w:t>
      </w:r>
    </w:p>
    <w:p>
      <w:pPr>
        <w:spacing w:before="0" w:after="200"/>
      </w:pPr>
      <w:r>
        <w:rPr>
          <w:rFonts w:ascii="Georgia" w:cs="Georgia" w:eastAsia="Georgia" w:hAnsi="Georgia"/>
          <w:color w:val="2C2C2C"/>
          <w:sz w:val="22"/>
          <w:szCs w:val="22"/>
        </w:rPr>
        <w:t xml:space="preserve">From its commanding corner lot, the home's ornate Victorian façade — crowned by a sweeping wraparound columned porch — announces its presence with quiet authority. Stained antique glass windows catch the California light and cast prismatic warmth across interiors of extraordinary refinement. The dramatic entry staircase anchors the home with a sense of timeless grandeur that simply cannot be found in new construction at any price.</w:t>
      </w:r>
    </w:p>
    <w:p>
      <w:pPr>
        <w:pStyle w:val="Heading2"/>
      </w:pPr>
      <w:r>
        <w:rPr>
          <w:rFonts w:ascii="Arial" w:cs="Arial" w:eastAsia="Arial" w:hAnsi="Arial"/>
          <w:b/>
          <w:bCs/>
          <w:color w:val="B8960C"/>
          <w:spacing w:val="40"/>
          <w:sz w:val="26"/>
          <w:szCs w:val="26"/>
        </w:rPr>
        <w:t xml:space="preserve">INTERIORS WORTHY OF THE ARCHITECTURE</w:t>
      </w:r>
    </w:p>
    <w:p>
      <w:pPr>
        <w:spacing w:before="100" w:after="200"/>
      </w:pPr>
      <w:r>
        <w:rPr>
          <w:rFonts w:ascii="Georgia" w:cs="Georgia" w:eastAsia="Georgia" w:hAnsi="Georgia"/>
          <w:color w:val="2C2C2C"/>
          <w:sz w:val="22"/>
          <w:szCs w:val="22"/>
        </w:rPr>
        <w:t xml:space="preserve">Spanning over 3,400 square feet across three gracious levels, every inch of the Charlotte Bushnell House has been curated with materials that would be at home in the world's finest estates. Checkered St. Laurent and Dolomite marble flooring sets a dramatic tone underfoot, while Ijen Blue Quartzite countertops — among the most sought-after stones in luxury design — command attention in every space they inhabit. Antique glass fixtures cast a golden glow across soaring ceilings, completing an interior that feels simultaneously rooted in another century and entirely of the moment.</w:t>
      </w:r>
    </w:p>
    <w:p>
      <w:pPr>
        <w:spacing w:before="0" w:after="200"/>
      </w:pPr>
      <w:r>
        <w:rPr>
          <w:rFonts w:ascii="Georgia" w:cs="Georgia" w:eastAsia="Georgia" w:hAnsi="Georgia"/>
          <w:color w:val="2C2C2C"/>
          <w:sz w:val="22"/>
          <w:szCs w:val="22"/>
        </w:rPr>
        <w:t xml:space="preserve">The entry level presents three expansive great rooms bathed in natural light — ideal for grand entertaining, intimate gatherings, or a distinguished commercial reception — alongside a potential prep kitchen that speaks to the home's remarkable versatility. Ascend the striking staircase to the second level, where four generous bedrooms or private office suites each offer captivating views of San Diego Bay, Balboa Park, Bankers Hill, or the glittering downtown skyline. The third floor crowns the home with an ideally appointed loft and private ensuite — a sanctuary for a primary retreat, a creative studio, or a premier guest accommodation.</w:t>
      </w:r>
    </w:p>
    <w:p>
      <w:pPr>
        <w:pStyle w:val="Heading2"/>
      </w:pPr>
      <w:r>
        <w:rPr>
          <w:rFonts w:ascii="Arial" w:cs="Arial" w:eastAsia="Arial" w:hAnsi="Arial"/>
          <w:b/>
          <w:bCs/>
          <w:color w:val="B8960C"/>
          <w:spacing w:val="40"/>
          <w:sz w:val="26"/>
          <w:szCs w:val="26"/>
        </w:rPr>
        <w:t xml:space="preserve">AN UNRIVALED INVESTMENT OPPORTUNITY</w:t>
      </w:r>
    </w:p>
    <w:p>
      <w:pPr>
        <w:spacing w:before="100" w:after="200"/>
      </w:pPr>
      <w:r>
        <w:rPr>
          <w:rFonts w:ascii="Georgia" w:cs="Georgia" w:eastAsia="Georgia" w:hAnsi="Georgia"/>
          <w:color w:val="2C2C2C"/>
          <w:sz w:val="22"/>
          <w:szCs w:val="22"/>
        </w:rPr>
        <w:t xml:space="preserve">The Charlotte Bushnell House offers something increasingly rare in today's market: genuine optionality. Dual residential and commercial zoning opens the door to an extraordinary range of visions — a private residence of singular distinction, a boutique hotel, a flagship creative studio, a luxury wellness practice, or an intimate event venue. In a neighborhood where character commands a premium, this property is not just a home but a platform.</w:t>
      </w:r>
    </w:p>
    <w:p>
      <w:pPr>
        <w:spacing w:before="0" w:after="200"/>
      </w:pPr>
      <w:r>
        <w:rPr>
          <w:rFonts w:ascii="Georgia" w:cs="Georgia" w:eastAsia="Georgia" w:hAnsi="Georgia"/>
          <w:color w:val="2C2C2C"/>
          <w:sz w:val="22"/>
          <w:szCs w:val="22"/>
        </w:rPr>
        <w:t xml:space="preserve">As a designated historic landmark, the property qualifies for the Mills Act — one of California's most powerful property tax reduction programs — offering substantial annual savings that meaningfully enhance the financial profile of ownership. The prominent corner lot includes private parking, a rare asset in this neighborhood, and the expansive yard presents the opportunity to construct an ADU, adding further functionality and long-term value.</w:t>
      </w:r>
    </w:p>
    <w:p>
      <w:pPr>
        <w:pStyle w:val="Heading2"/>
      </w:pPr>
      <w:r>
        <w:rPr>
          <w:rFonts w:ascii="Arial" w:cs="Arial" w:eastAsia="Arial" w:hAnsi="Arial"/>
          <w:b/>
          <w:bCs/>
          <w:color w:val="B8960C"/>
          <w:spacing w:val="40"/>
          <w:sz w:val="26"/>
          <w:szCs w:val="26"/>
        </w:rPr>
        <w:t xml:space="preserve">THE HEART OF SAN DIEGO'S MOST COVETED NEIGHBORHOOD</w:t>
      </w:r>
    </w:p>
    <w:p>
      <w:pPr>
        <w:spacing w:before="100" w:after="200"/>
      </w:pPr>
      <w:r>
        <w:rPr>
          <w:rFonts w:ascii="Georgia" w:cs="Georgia" w:eastAsia="Georgia" w:hAnsi="Georgia"/>
          <w:color w:val="2C2C2C"/>
          <w:sz w:val="22"/>
          <w:szCs w:val="22"/>
        </w:rPr>
        <w:t xml:space="preserve">Bankers Hill is San Diego's most storied enclave — a neighborhood of tree-lined streets, Victorian and Craftsman landmarks, and an effortlessly walkable urban lifestyle perched above downtown and steps from the 1,200-acre Balboa Park. Here, the city's finest restaurants, cultural institutions, and waterfront promenades are part of daily life. West-facing views of San Diego Bay, Point Loma, and the downtown skyline frame every sunrise and sunset with cinematic beauty.</w:t>
      </w:r>
    </w:p>
    <w:p>
      <w:pPr>
        <w:spacing w:before="0" w:after="200"/>
      </w:pPr>
      <w:r>
        <w:rPr>
          <w:rFonts w:ascii="Georgia" w:cs="Georgia" w:eastAsia="Georgia" w:hAnsi="Georgia"/>
          <w:color w:val="2C2C2C"/>
          <w:sz w:val="22"/>
          <w:szCs w:val="22"/>
        </w:rPr>
        <w:t xml:space="preserve">To own at this address is to occupy one of the city's most historically significant positions — in the company of landmark homes that have defined San Diego's architectural identity for over a century.</w:t>
      </w:r>
    </w:p>
    <w:p>
      <w:pPr>
        <w:pBdr>
          <w:bottom w:val="single" w:color="B8960C" w:sz="4" w:space="1"/>
        </w:pBdr>
        <w:spacing w:before="80" w:after="80"/>
      </w:pPr>
    </w:p>
    <w:p>
      <w:pPr>
        <w:spacing w:before="280" w:after="280"/>
        <w:jc w:val="center"/>
      </w:pPr>
      <w:r>
        <w:rPr>
          <w:rFonts w:ascii="Georgia" w:cs="Georgia" w:eastAsia="Georgia" w:hAnsi="Georgia"/>
          <w:i/>
          <w:iCs/>
          <w:color w:val="555555"/>
          <w:sz w:val="26"/>
          <w:szCs w:val="26"/>
        </w:rPr>
        <w:t xml:space="preserve">Ownership opportunities of this caliber appear once in a generation.
The Charlotte Bushnell House is not simply a residence — it is a legacy.</w:t>
      </w:r>
    </w:p>
    <w:p>
      <w:pPr>
        <w:pBdr>
          <w:bottom w:val="single" w:color="B8960C" w:sz="4" w:space="1"/>
        </w:pBdr>
        <w:spacing w:before="80" w:after="80"/>
      </w:pPr>
    </w:p>
    <w:p>
      <w:pPr>
        <w:spacing w:before="200" w:after="60"/>
        <w:jc w:val="center"/>
      </w:pPr>
      <w:r>
        <w:rPr>
          <w:rFonts w:ascii="Arial" w:cs="Arial" w:eastAsia="Arial" w:hAnsi="Arial"/>
          <w:b/>
          <w:bCs/>
          <w:color w:val="B8960C"/>
          <w:spacing w:val="60"/>
          <w:sz w:val="20"/>
          <w:szCs w:val="20"/>
        </w:rPr>
        <w:t xml:space="preserve">PROPERTY HIGHLIGHTS</w:t>
      </w:r>
    </w:p>
    <w:p>
      <w:pPr>
        <w:spacing w:before="60" w:after="40"/>
        <w:jc w:val="center"/>
      </w:pPr>
      <w:r>
        <w:rPr>
          <w:rFonts w:ascii="Arial" w:cs="Arial" w:eastAsia="Arial" w:hAnsi="Arial"/>
          <w:color w:val="555555"/>
          <w:sz w:val="19"/>
          <w:szCs w:val="19"/>
        </w:rPr>
        <w:t xml:space="preserve">Historic Landmark #172  ·  Mills Act Eligible  ·  3,400+ Sq. Ft.  ·  3 Levels</w:t>
      </w:r>
    </w:p>
    <w:p>
      <w:pPr>
        <w:spacing w:before="0" w:after="40"/>
        <w:jc w:val="center"/>
      </w:pPr>
      <w:r>
        <w:rPr>
          <w:rFonts w:ascii="Arial" w:cs="Arial" w:eastAsia="Arial" w:hAnsi="Arial"/>
          <w:color w:val="555555"/>
          <w:sz w:val="19"/>
          <w:szCs w:val="19"/>
        </w:rPr>
        <w:t xml:space="preserve">4 Beds / Offices  ·  2 Full Baths  ·  Corner Lot  ·  Private Parking  ·  ADU Potential</w:t>
      </w:r>
    </w:p>
    <w:p>
      <w:pPr>
        <w:spacing w:before="0" w:after="40"/>
        <w:jc w:val="center"/>
      </w:pPr>
      <w:r>
        <w:rPr>
          <w:rFonts w:ascii="Arial" w:cs="Arial" w:eastAsia="Arial" w:hAnsi="Arial"/>
          <w:color w:val="555555"/>
          <w:sz w:val="19"/>
          <w:szCs w:val="19"/>
        </w:rPr>
        <w:t xml:space="preserve">Dual Residential + Commercial Zoning  ·  Updated 2022  ·  Wraparound Porch</w:t>
      </w:r>
    </w:p>
    <w:p>
      <w:pPr>
        <w:spacing w:before="0" w:after="40"/>
        <w:jc w:val="center"/>
      </w:pPr>
      <w:r>
        <w:rPr>
          <w:rFonts w:ascii="Arial" w:cs="Arial" w:eastAsia="Arial" w:hAnsi="Arial"/>
          <w:color w:val="555555"/>
          <w:sz w:val="19"/>
          <w:szCs w:val="19"/>
        </w:rPr>
        <w:t xml:space="preserve">St. Laurent &amp; Dolomite Marble  ·  Ijen Blue Quartzite  ·  Antique Stained Glass</w:t>
      </w:r>
    </w:p>
    <w:p>
      <w:pPr>
        <w:spacing w:before="0" w:after="40"/>
        <w:jc w:val="center"/>
      </w:pPr>
      <w:r>
        <w:rPr>
          <w:rFonts w:ascii="Arial" w:cs="Arial" w:eastAsia="Arial" w:hAnsi="Arial"/>
          <w:color w:val="555555"/>
          <w:sz w:val="19"/>
          <w:szCs w:val="19"/>
        </w:rPr>
        <w:t xml:space="preserve">Views: San Diego Bay · Downtown · Balboa Park · Point Loma</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2C2C2C"/>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240" w:after="120"/>
      <w:outlineLvl w:val="0"/>
    </w:pPr>
    <w:rPr>
      <w:rFonts w:ascii="Arial" w:cs="Arial" w:eastAsia="Arial" w:hAnsi="Arial"/>
      <w:b/>
      <w:bCs/>
      <w:color w:val="2C2C2C"/>
      <w:sz w:val="36"/>
      <w:szCs w:val="36"/>
    </w:rPr>
  </w:style>
  <w:style w:type="paragraph" w:styleId="Heading2">
    <w:name w:val="Heading 2"/>
    <w:basedOn w:val="Normal"/>
    <w:next w:val="Normal"/>
    <w:qFormat/>
    <w:pPr>
      <w:spacing w:before="300" w:after="100"/>
      <w:outlineLvl w:val="1"/>
    </w:pPr>
    <w:rPr>
      <w:rFonts w:ascii="Arial" w:cs="Arial" w:eastAsia="Arial" w:hAnsi="Arial"/>
      <w:b/>
      <w:bCs/>
      <w:color w:val="B8960C"/>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2026-02-20T12:14:10.941Z</dcterms:created>
  <dcterms:modified xsi:type="dcterms:W3CDTF">2026-02-20T12:14:10.942Z</dcterms:modified>
</cp:coreProperties>
</file>

<file path=docProps/custom.xml><?xml version="1.0" encoding="utf-8"?>
<Properties xmlns="http://schemas.openxmlformats.org/officeDocument/2006/custom-properties" xmlns:vt="http://schemas.openxmlformats.org/officeDocument/2006/docPropsVTypes"/>
</file>